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EB" w:rsidRDefault="00DE36EB" w:rsidP="00DE36EB">
      <w:pPr>
        <w:spacing w:after="0" w:line="240" w:lineRule="auto"/>
      </w:pPr>
      <w:bookmarkStart w:id="0" w:name="_GoBack"/>
      <w:bookmarkEnd w:id="0"/>
    </w:p>
    <w:p w:rsidR="00C733C1" w:rsidRDefault="00C733C1" w:rsidP="00C733C1">
      <w:pPr>
        <w:spacing w:after="0" w:line="240" w:lineRule="auto"/>
        <w:jc w:val="center"/>
        <w:rPr>
          <w:b/>
          <w:sz w:val="40"/>
          <w:szCs w:val="40"/>
        </w:rPr>
      </w:pPr>
      <w:r w:rsidRPr="006842B7">
        <w:rPr>
          <w:b/>
          <w:sz w:val="40"/>
          <w:szCs w:val="40"/>
        </w:rPr>
        <w:t>Kirkpatrick</w:t>
      </w:r>
      <w:r>
        <w:rPr>
          <w:b/>
          <w:sz w:val="40"/>
          <w:szCs w:val="40"/>
        </w:rPr>
        <w:t xml:space="preserve"> Level 3</w:t>
      </w:r>
      <w:r w:rsidRPr="006842B7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Behavior</w:t>
      </w:r>
      <w:r w:rsidRPr="006842B7">
        <w:rPr>
          <w:b/>
          <w:sz w:val="40"/>
          <w:szCs w:val="40"/>
        </w:rPr>
        <w:t>)</w:t>
      </w:r>
    </w:p>
    <w:p w:rsidR="00C733C1" w:rsidRPr="006842B7" w:rsidRDefault="00C733C1" w:rsidP="00C733C1">
      <w:pPr>
        <w:spacing w:after="0" w:line="240" w:lineRule="auto"/>
        <w:jc w:val="center"/>
        <w:rPr>
          <w:b/>
          <w:sz w:val="40"/>
          <w:szCs w:val="40"/>
        </w:rPr>
      </w:pPr>
    </w:p>
    <w:p w:rsidR="00C733C1" w:rsidRDefault="00C733C1" w:rsidP="00C733C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Evaluation Strategies</w:t>
      </w:r>
    </w:p>
    <w:p w:rsidR="00692561" w:rsidRDefault="00692561" w:rsidP="00C733C1">
      <w:pPr>
        <w:spacing w:after="0" w:line="240" w:lineRule="auto"/>
        <w:jc w:val="center"/>
        <w:rPr>
          <w:b/>
          <w:sz w:val="40"/>
          <w:szCs w:val="40"/>
        </w:rPr>
      </w:pPr>
    </w:p>
    <w:p w:rsidR="00692561" w:rsidRDefault="00692561" w:rsidP="00530307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instructions for use</w:t>
      </w:r>
      <w:r>
        <w:rPr>
          <w:b/>
          <w:sz w:val="28"/>
          <w:szCs w:val="28"/>
        </w:rPr>
        <w:tab/>
      </w:r>
    </w:p>
    <w:p w:rsidR="00692561" w:rsidRDefault="00692561" w:rsidP="00692561">
      <w:pPr>
        <w:spacing w:after="0" w:line="240" w:lineRule="auto"/>
        <w:rPr>
          <w:rFonts w:eastAsiaTheme="minorEastAsia"/>
        </w:rPr>
      </w:pPr>
    </w:p>
    <w:p w:rsidR="006D4F9F" w:rsidRDefault="006D4F9F" w:rsidP="006D4F9F">
      <w:pPr>
        <w:spacing w:after="0" w:line="240" w:lineRule="auto"/>
      </w:pPr>
      <w:r>
        <w:t>The success of a Kirkpatrick Level 3 evaluation largely depends on</w:t>
      </w:r>
      <w:r w:rsidR="00A717FE">
        <w:t xml:space="preserve"> the design of the evaluation. </w:t>
      </w:r>
      <w:r>
        <w:t>Evaluation approaches, including assessment design, data collection source and methods, measurement indicators, and data analysis and reporting, should be considered when developing</w:t>
      </w:r>
      <w:r w:rsidR="00A717FE">
        <w:t xml:space="preserve"> a Level 3 evaluation strategy.</w:t>
      </w:r>
      <w:r>
        <w:t xml:space="preserve"> Drivers of Level 3 evaluation strategies may include outcomes of interest, resources, cost, business needs, and time.  </w:t>
      </w:r>
    </w:p>
    <w:p w:rsidR="006D4F9F" w:rsidRDefault="006D4F9F" w:rsidP="006D4F9F">
      <w:pPr>
        <w:spacing w:after="0" w:line="240" w:lineRule="auto"/>
      </w:pPr>
    </w:p>
    <w:p w:rsidR="006D4F9F" w:rsidRDefault="006D4F9F" w:rsidP="006D4F9F">
      <w:pPr>
        <w:spacing w:after="0" w:line="240" w:lineRule="auto"/>
        <w:sectPr w:rsidR="006D4F9F" w:rsidSect="00F421E6">
          <w:headerReference w:type="even" r:id="rId7"/>
          <w:headerReference w:type="default" r:id="rId8"/>
          <w:footerReference w:type="even" r:id="rId9"/>
          <w:footerReference w:type="default" r:id="rId10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  <w:r>
        <w:t xml:space="preserve">The </w:t>
      </w:r>
      <w:r w:rsidRPr="00C20EF9">
        <w:t xml:space="preserve">Preparedness and Emergency Response Learning Centers </w:t>
      </w:r>
      <w:r>
        <w:t xml:space="preserve">(PERLC) Level 3 Working Group developed a table of </w:t>
      </w:r>
      <w:r w:rsidRPr="00AC6F4F">
        <w:t>possible evaluation approaches for assessing behavior</w:t>
      </w:r>
      <w:r w:rsidR="00A717FE">
        <w:t xml:space="preserve"> change.</w:t>
      </w:r>
      <w:r>
        <w:t xml:space="preserve"> It is provided to guide the evaluator in developing a Kirkpatric</w:t>
      </w:r>
      <w:r w:rsidR="00A717FE">
        <w:t xml:space="preserve">k Level 3 evaluation strategy. </w:t>
      </w:r>
      <w:r>
        <w:t>Approaches consider the design and data collection source and method</w:t>
      </w:r>
      <w:r w:rsidRPr="008A4D2A">
        <w:t xml:space="preserve"> </w:t>
      </w:r>
      <w:r w:rsidR="00A717FE">
        <w:t xml:space="preserve">of the Level 3 evaluation. </w:t>
      </w:r>
      <w:r>
        <w:t xml:space="preserve">Approaches are applicable across the continuum of field settings (i.e., everyday workplace, exercise or simulation, and real-life </w:t>
      </w:r>
      <w:r w:rsidR="00A717FE">
        <w:t xml:space="preserve">event) unless otherwise noted. </w:t>
      </w:r>
      <w:r>
        <w:t>Additionally, the matrix provides examples of types and sources of L</w:t>
      </w:r>
      <w:r w:rsidR="00A717FE">
        <w:t xml:space="preserve">evel 3 measurement indicators. </w:t>
      </w:r>
      <w:r>
        <w:t xml:space="preserve">Finally, example questions for select approaches are provided. </w:t>
      </w:r>
    </w:p>
    <w:p w:rsidR="00DE36EB" w:rsidRDefault="00DE36EB" w:rsidP="00DE36EB">
      <w:pPr>
        <w:spacing w:after="0" w:line="240" w:lineRule="auto"/>
      </w:pPr>
    </w:p>
    <w:p w:rsidR="00DE36EB" w:rsidRDefault="00DE36EB" w:rsidP="00DE36EB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evaluation strategies</w:t>
      </w:r>
    </w:p>
    <w:p w:rsidR="00DE36EB" w:rsidRDefault="00DE36EB" w:rsidP="00DE36EB">
      <w:pPr>
        <w:spacing w:after="0" w:line="240" w:lineRule="auto"/>
      </w:pPr>
    </w:p>
    <w:p w:rsidR="00DE36EB" w:rsidRDefault="00DE36EB" w:rsidP="00DE36EB">
      <w:pPr>
        <w:spacing w:after="0" w:line="240" w:lineRule="auto"/>
        <w:jc w:val="center"/>
        <w:rPr>
          <w:b/>
        </w:rPr>
      </w:pPr>
      <w:r w:rsidRPr="004F5BC4">
        <w:rPr>
          <w:b/>
        </w:rPr>
        <w:t xml:space="preserve">Table:  Evaluation approaches for measuring behavior change in an </w:t>
      </w:r>
    </w:p>
    <w:p w:rsidR="00DE36EB" w:rsidRPr="004F5BC4" w:rsidRDefault="00DE36EB" w:rsidP="00DE36EB">
      <w:pPr>
        <w:spacing w:after="0" w:line="240" w:lineRule="auto"/>
        <w:jc w:val="center"/>
        <w:rPr>
          <w:b/>
        </w:rPr>
      </w:pPr>
      <w:r w:rsidRPr="004F5BC4">
        <w:rPr>
          <w:b/>
        </w:rPr>
        <w:t>everyday workplace, exercise, or real-life event setting</w:t>
      </w:r>
    </w:p>
    <w:p w:rsidR="00DE36EB" w:rsidRDefault="00DE36EB" w:rsidP="00DE36EB">
      <w:pPr>
        <w:spacing w:after="0" w:line="240" w:lineRule="auto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470"/>
      </w:tblGrid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Default="00DE36EB" w:rsidP="00EC7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5353F">
              <w:rPr>
                <w:rFonts w:ascii="Calibri" w:eastAsia="Calibri" w:hAnsi="Calibri" w:cs="Times New Roman"/>
                <w:b/>
              </w:rPr>
              <w:t>Evaluation Category</w:t>
            </w:r>
          </w:p>
          <w:p w:rsidR="00DE36EB" w:rsidRPr="0005353F" w:rsidRDefault="00DE36EB" w:rsidP="00EC7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5353F">
              <w:rPr>
                <w:rFonts w:ascii="Calibri" w:eastAsia="Calibri" w:hAnsi="Calibri" w:cs="Times New Roman"/>
                <w:b/>
              </w:rPr>
              <w:t>Possible Options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C4BC96" w:themeFill="background2" w:themeFillShade="BF"/>
          </w:tcPr>
          <w:p w:rsidR="00DE36EB" w:rsidRPr="002E13EA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13EA">
              <w:rPr>
                <w:rFonts w:ascii="Calibri" w:eastAsia="Calibri" w:hAnsi="Calibri" w:cs="Times New Roman"/>
                <w:b/>
              </w:rPr>
              <w:t xml:space="preserve">Design </w:t>
            </w:r>
          </w:p>
        </w:tc>
        <w:tc>
          <w:tcPr>
            <w:tcW w:w="7470" w:type="dxa"/>
            <w:shd w:val="clear" w:color="auto" w:fill="C4BC96" w:themeFill="background2" w:themeFillShade="BF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Post Only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 and </w:t>
            </w:r>
            <w:r w:rsidRPr="0005353F">
              <w:rPr>
                <w:rFonts w:ascii="Calibri" w:eastAsia="Calibri" w:hAnsi="Calibri" w:cs="Times New Roman"/>
              </w:rPr>
              <w:t>Post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Multiple Repeat Measures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Non-equivalent Comparison Group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E04A3D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05353F">
              <w:rPr>
                <w:rFonts w:ascii="Calibri" w:eastAsia="Calibri" w:hAnsi="Calibri" w:cs="Times New Roman"/>
              </w:rPr>
              <w:t>Randomized Control Trial</w:t>
            </w:r>
            <w:r>
              <w:rPr>
                <w:rFonts w:ascii="Calibri" w:eastAsia="Calibri" w:hAnsi="Calibri" w:cs="Times New Roman"/>
                <w:vertAlign w:val="superscript"/>
              </w:rPr>
              <w:t>1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C4BC96" w:themeFill="background2" w:themeFillShade="BF"/>
          </w:tcPr>
          <w:p w:rsidR="00DE36EB" w:rsidRPr="002E13EA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13EA">
              <w:rPr>
                <w:rFonts w:ascii="Calibri" w:eastAsia="Calibri" w:hAnsi="Calibri" w:cs="Times New Roman"/>
                <w:b/>
              </w:rPr>
              <w:t>Data Collection Source</w:t>
            </w:r>
          </w:p>
        </w:tc>
        <w:tc>
          <w:tcPr>
            <w:tcW w:w="7470" w:type="dxa"/>
            <w:shd w:val="clear" w:color="auto" w:fill="C4BC96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Self-Report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Peer-Evaluation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Supervisor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Evaluator or Trained Observer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C4BC96" w:themeFill="background2" w:themeFillShade="BF"/>
          </w:tcPr>
          <w:p w:rsidR="00DE36EB" w:rsidRPr="002E13EA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13EA">
              <w:rPr>
                <w:rFonts w:ascii="Calibri" w:eastAsia="Calibri" w:hAnsi="Calibri" w:cs="Times New Roman"/>
                <w:b/>
              </w:rPr>
              <w:t>Data Collection Method</w:t>
            </w:r>
          </w:p>
        </w:tc>
        <w:tc>
          <w:tcPr>
            <w:tcW w:w="7470" w:type="dxa"/>
            <w:shd w:val="clear" w:color="auto" w:fill="C4BC96" w:themeFill="background2" w:themeFillShade="BF"/>
          </w:tcPr>
          <w:p w:rsidR="00DE36EB" w:rsidRPr="002E13EA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E04A3D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05353F">
              <w:rPr>
                <w:rFonts w:ascii="Calibri" w:eastAsia="Calibri" w:hAnsi="Calibri" w:cs="Times New Roman"/>
              </w:rPr>
              <w:t>Embedded in Training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Interview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Survey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Observation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C4BC96" w:themeFill="background2" w:themeFillShade="BF"/>
          </w:tcPr>
          <w:p w:rsidR="00DE36EB" w:rsidRPr="002E13EA" w:rsidRDefault="00CE5165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Metrics/</w:t>
            </w:r>
            <w:r w:rsidR="00DE36EB" w:rsidRPr="002E13EA">
              <w:rPr>
                <w:rFonts w:ascii="Calibri" w:eastAsia="Calibri" w:hAnsi="Calibri" w:cs="Times New Roman"/>
                <w:b/>
              </w:rPr>
              <w:t>Indicators - Examples</w:t>
            </w:r>
          </w:p>
        </w:tc>
        <w:tc>
          <w:tcPr>
            <w:tcW w:w="7470" w:type="dxa"/>
            <w:shd w:val="clear" w:color="auto" w:fill="C4BC96" w:themeFill="background2" w:themeFillShade="BF"/>
          </w:tcPr>
          <w:p w:rsidR="00DE36EB" w:rsidRPr="002E13EA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Goal-Based Behaviors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Competency-Based Behaviors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353F">
              <w:rPr>
                <w:rFonts w:ascii="Calibri" w:eastAsia="Calibri" w:hAnsi="Calibri" w:cs="Times New Roman"/>
              </w:rPr>
              <w:t>K</w:t>
            </w:r>
            <w:r w:rsidR="00CE5165">
              <w:rPr>
                <w:rFonts w:ascii="Calibri" w:eastAsia="Calibri" w:hAnsi="Calibri" w:cs="Times New Roman"/>
              </w:rPr>
              <w:t xml:space="preserve">nowledge, </w:t>
            </w:r>
            <w:r w:rsidRPr="0005353F">
              <w:rPr>
                <w:rFonts w:ascii="Calibri" w:eastAsia="Calibri" w:hAnsi="Calibri" w:cs="Times New Roman"/>
              </w:rPr>
              <w:t>S</w:t>
            </w:r>
            <w:r w:rsidR="00CE5165">
              <w:rPr>
                <w:rFonts w:ascii="Calibri" w:eastAsia="Calibri" w:hAnsi="Calibri" w:cs="Times New Roman"/>
              </w:rPr>
              <w:t>kills,</w:t>
            </w:r>
            <w:r w:rsidR="000825DF">
              <w:rPr>
                <w:rFonts w:ascii="Calibri" w:eastAsia="Calibri" w:hAnsi="Calibri" w:cs="Times New Roman"/>
              </w:rPr>
              <w:t xml:space="preserve"> and</w:t>
            </w:r>
            <w:r w:rsidR="00CE5165">
              <w:rPr>
                <w:rFonts w:ascii="Calibri" w:eastAsia="Calibri" w:hAnsi="Calibri" w:cs="Times New Roman"/>
              </w:rPr>
              <w:t xml:space="preserve"> </w:t>
            </w:r>
            <w:r w:rsidRPr="0005353F">
              <w:rPr>
                <w:rFonts w:ascii="Calibri" w:eastAsia="Calibri" w:hAnsi="Calibri" w:cs="Times New Roman"/>
              </w:rPr>
              <w:t>A</w:t>
            </w:r>
            <w:r w:rsidR="00CE5165">
              <w:rPr>
                <w:rFonts w:ascii="Calibri" w:eastAsia="Calibri" w:hAnsi="Calibri" w:cs="Times New Roman"/>
              </w:rPr>
              <w:t>ttitudes (KSA</w:t>
            </w:r>
            <w:r w:rsidRPr="0005353F">
              <w:rPr>
                <w:rFonts w:ascii="Calibri" w:eastAsia="Calibri" w:hAnsi="Calibri" w:cs="Times New Roman"/>
              </w:rPr>
              <w:t>s</w:t>
            </w:r>
            <w:r w:rsidR="00CE5165">
              <w:rPr>
                <w:rFonts w:ascii="Calibri" w:eastAsia="Calibri" w:hAnsi="Calibri" w:cs="Times New Roman"/>
              </w:rPr>
              <w:t>)</w:t>
            </w:r>
          </w:p>
        </w:tc>
      </w:tr>
      <w:tr w:rsidR="00DE36EB" w:rsidRPr="0005353F" w:rsidTr="00EC7CBC">
        <w:trPr>
          <w:jc w:val="center"/>
        </w:trPr>
        <w:tc>
          <w:tcPr>
            <w:tcW w:w="2515" w:type="dxa"/>
            <w:shd w:val="clear" w:color="auto" w:fill="auto"/>
          </w:tcPr>
          <w:p w:rsidR="00DE36EB" w:rsidRPr="0005353F" w:rsidRDefault="00DE36EB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0" w:type="dxa"/>
            <w:shd w:val="clear" w:color="auto" w:fill="auto"/>
          </w:tcPr>
          <w:p w:rsidR="00DE36EB" w:rsidRPr="0005353F" w:rsidRDefault="00CE5165" w:rsidP="00EC7CB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Intention Goals and/or B</w:t>
            </w:r>
            <w:r w:rsidR="00DE36EB">
              <w:rPr>
                <w:rFonts w:ascii="Calibri" w:eastAsia="Calibri" w:hAnsi="Calibri" w:cs="Times New Roman"/>
              </w:rPr>
              <w:t>eliefs</w:t>
            </w:r>
            <w:r w:rsidR="00DE36EB">
              <w:rPr>
                <w:rFonts w:ascii="Calibri" w:eastAsia="Calibri" w:hAnsi="Calibri" w:cs="Times New Roman"/>
                <w:vertAlign w:val="superscript"/>
              </w:rPr>
              <w:t>3</w:t>
            </w:r>
            <w:r w:rsidR="00DE36EB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DE36EB" w:rsidRPr="007E067E" w:rsidRDefault="00DE36EB" w:rsidP="00DE36EB">
      <w:pPr>
        <w:spacing w:after="0" w:line="240" w:lineRule="auto"/>
        <w:ind w:left="450"/>
      </w:pPr>
      <w:r w:rsidRPr="007E067E">
        <w:rPr>
          <w:vertAlign w:val="superscript"/>
        </w:rPr>
        <w:t>1</w:t>
      </w:r>
      <w:r w:rsidRPr="007E067E">
        <w:t>Non-applicable in a real-life setting</w:t>
      </w:r>
    </w:p>
    <w:p w:rsidR="00DE36EB" w:rsidRPr="007E067E" w:rsidRDefault="00DE36EB" w:rsidP="00DE36EB">
      <w:pPr>
        <w:spacing w:after="0" w:line="240" w:lineRule="auto"/>
        <w:ind w:left="450"/>
      </w:pPr>
      <w:r w:rsidRPr="007E067E">
        <w:rPr>
          <w:vertAlign w:val="superscript"/>
        </w:rPr>
        <w:t>2</w:t>
      </w:r>
      <w:r w:rsidRPr="007E067E">
        <w:t>Non-applicable in everyday workplace and real-life settings</w:t>
      </w:r>
    </w:p>
    <w:p w:rsidR="00DE36EB" w:rsidRPr="00C047E3" w:rsidRDefault="00DE36EB" w:rsidP="00DE36EB">
      <w:pPr>
        <w:spacing w:after="0" w:line="240" w:lineRule="auto"/>
        <w:ind w:left="450"/>
      </w:pPr>
      <w:r>
        <w:rPr>
          <w:vertAlign w:val="superscript"/>
        </w:rPr>
        <w:t>3</w:t>
      </w:r>
      <w:r>
        <w:t xml:space="preserve">Intention goals are the planned actions desired by participants using the knowledge and skills they learned in       training and supported by their beliefs (Basarab, 2011).   </w:t>
      </w:r>
    </w:p>
    <w:p w:rsidR="00DE36EB" w:rsidRDefault="00DE36EB" w:rsidP="00DE36EB">
      <w:pPr>
        <w:spacing w:after="0" w:line="240" w:lineRule="auto"/>
        <w:rPr>
          <w:b/>
        </w:rPr>
      </w:pPr>
    </w:p>
    <w:p w:rsidR="006D4F9F" w:rsidRPr="004E03EB" w:rsidRDefault="006D4F9F" w:rsidP="006D4F9F">
      <w:pPr>
        <w:spacing w:after="0" w:line="240" w:lineRule="auto"/>
        <w:rPr>
          <w:b/>
        </w:rPr>
      </w:pPr>
      <w:r>
        <w:rPr>
          <w:b/>
        </w:rPr>
        <w:t>Example</w:t>
      </w:r>
      <w:r w:rsidRPr="004E03EB">
        <w:rPr>
          <w:b/>
        </w:rPr>
        <w:t xml:space="preserve"> Kirkpatrick Level 3 Questions:</w:t>
      </w:r>
    </w:p>
    <w:p w:rsidR="006D4F9F" w:rsidRPr="004E03EB" w:rsidRDefault="006D4F9F" w:rsidP="006D4F9F">
      <w:pPr>
        <w:spacing w:after="0" w:line="240" w:lineRule="auto"/>
        <w:outlineLvl w:val="0"/>
        <w:rPr>
          <w:b/>
          <w:u w:val="single"/>
        </w:rPr>
      </w:pPr>
      <w:r>
        <w:rPr>
          <w:b/>
          <w:u w:val="single"/>
        </w:rPr>
        <w:t xml:space="preserve">Example 1:  </w:t>
      </w:r>
      <w:r w:rsidRPr="004E03EB">
        <w:rPr>
          <w:b/>
          <w:u w:val="single"/>
        </w:rPr>
        <w:t xml:space="preserve">Questions </w:t>
      </w:r>
      <w:r>
        <w:rPr>
          <w:b/>
          <w:u w:val="single"/>
        </w:rPr>
        <w:t>for a post-test survey administered to participants of an exercise or simulation</w:t>
      </w:r>
    </w:p>
    <w:p w:rsidR="006D4F9F" w:rsidRPr="004E03EB" w:rsidRDefault="006D4F9F" w:rsidP="006D4F9F">
      <w:pPr>
        <w:pStyle w:val="ListParagraph"/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4E03EB">
        <w:rPr>
          <w:sz w:val="22"/>
          <w:szCs w:val="22"/>
        </w:rPr>
        <w:t xml:space="preserve">Have you taken any training in the last 3-6 months that helped you perform your roles </w:t>
      </w:r>
      <w:r>
        <w:rPr>
          <w:sz w:val="22"/>
          <w:szCs w:val="22"/>
        </w:rPr>
        <w:t>and</w:t>
      </w:r>
      <w:r w:rsidRPr="004E03EB">
        <w:rPr>
          <w:sz w:val="22"/>
          <w:szCs w:val="22"/>
        </w:rPr>
        <w:t xml:space="preserve"> responsibilities during this </w:t>
      </w:r>
      <w:r>
        <w:rPr>
          <w:sz w:val="22"/>
          <w:szCs w:val="22"/>
        </w:rPr>
        <w:t xml:space="preserve">[setting] </w:t>
      </w:r>
      <w:r w:rsidRPr="004E03EB">
        <w:rPr>
          <w:sz w:val="22"/>
          <w:szCs w:val="22"/>
        </w:rPr>
        <w:t xml:space="preserve">drill/exercise? </w:t>
      </w:r>
    </w:p>
    <w:p w:rsidR="006D4F9F" w:rsidRPr="004E03EB" w:rsidRDefault="006D4F9F" w:rsidP="006D4F9F">
      <w:pPr>
        <w:pStyle w:val="ListParagraph"/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4E03EB">
        <w:rPr>
          <w:sz w:val="22"/>
          <w:szCs w:val="22"/>
        </w:rPr>
        <w:t>If yes, briefly describe the purpose of the training or list the name of the training.</w:t>
      </w:r>
    </w:p>
    <w:p w:rsidR="006D4F9F" w:rsidRPr="004E03EB" w:rsidRDefault="006D4F9F" w:rsidP="006D4F9F">
      <w:pPr>
        <w:pStyle w:val="ListParagraph"/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4E03EB">
        <w:rPr>
          <w:sz w:val="22"/>
          <w:szCs w:val="22"/>
        </w:rPr>
        <w:t xml:space="preserve">Were there any lessons learned from the drill/exercise related to your roles </w:t>
      </w:r>
      <w:r>
        <w:rPr>
          <w:sz w:val="22"/>
          <w:szCs w:val="22"/>
        </w:rPr>
        <w:t>and</w:t>
      </w:r>
      <w:r w:rsidRPr="004E03EB">
        <w:rPr>
          <w:sz w:val="22"/>
          <w:szCs w:val="22"/>
        </w:rPr>
        <w:t xml:space="preserve"> responsibilities? If so, please describe briefly.</w:t>
      </w:r>
    </w:p>
    <w:p w:rsidR="006D4F9F" w:rsidRPr="004E03EB" w:rsidRDefault="006D4F9F" w:rsidP="006D4F9F">
      <w:pPr>
        <w:pStyle w:val="ListParagraph"/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4E03EB">
        <w:rPr>
          <w:sz w:val="22"/>
          <w:szCs w:val="22"/>
        </w:rPr>
        <w:t xml:space="preserve">Could you perform all of your duties and tasks for which you were responsible? </w:t>
      </w:r>
    </w:p>
    <w:p w:rsidR="006D4F9F" w:rsidRDefault="006D4F9F" w:rsidP="006D4F9F">
      <w:pPr>
        <w:pStyle w:val="ListParagraph"/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 xml:space="preserve">Consider including </w:t>
      </w:r>
      <w:r>
        <w:rPr>
          <w:sz w:val="22"/>
          <w:szCs w:val="22"/>
        </w:rPr>
        <w:t>knowledge, skills, and attitudes (</w:t>
      </w:r>
      <w:r w:rsidRPr="005E6900">
        <w:rPr>
          <w:sz w:val="22"/>
          <w:szCs w:val="22"/>
        </w:rPr>
        <w:t>KSAs</w:t>
      </w:r>
      <w:r>
        <w:rPr>
          <w:sz w:val="22"/>
          <w:szCs w:val="22"/>
        </w:rPr>
        <w:t>)</w:t>
      </w:r>
      <w:r w:rsidRPr="005E6900">
        <w:rPr>
          <w:sz w:val="22"/>
          <w:szCs w:val="22"/>
        </w:rPr>
        <w:t xml:space="preserve"> from the training using a checklist during an annual review (this may be too confidential to share).</w:t>
      </w:r>
    </w:p>
    <w:p w:rsidR="006D4F9F" w:rsidRPr="005E6900" w:rsidRDefault="006D4F9F" w:rsidP="006D4F9F">
      <w:pPr>
        <w:pStyle w:val="ListParagraph"/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>List all KSAs and have columns for ‘Yes’, ‘No’, or ‘Not Applicable’.</w:t>
      </w:r>
    </w:p>
    <w:p w:rsidR="006D4F9F" w:rsidRPr="004E03EB" w:rsidRDefault="006D4F9F" w:rsidP="006D4F9F">
      <w:pPr>
        <w:pStyle w:val="ListParagraph"/>
        <w:ind w:left="1440"/>
        <w:rPr>
          <w:sz w:val="22"/>
          <w:szCs w:val="22"/>
        </w:rPr>
      </w:pPr>
    </w:p>
    <w:p w:rsidR="00E562D2" w:rsidRDefault="00E562D2" w:rsidP="006D4F9F">
      <w:pPr>
        <w:keepNext/>
        <w:keepLines/>
        <w:widowControl w:val="0"/>
        <w:spacing w:after="0" w:line="240" w:lineRule="auto"/>
        <w:outlineLvl w:val="0"/>
        <w:rPr>
          <w:b/>
          <w:u w:val="single"/>
        </w:rPr>
      </w:pPr>
    </w:p>
    <w:p w:rsidR="006D4F9F" w:rsidRPr="004E03EB" w:rsidRDefault="006D4F9F" w:rsidP="006D4F9F">
      <w:pPr>
        <w:keepNext/>
        <w:keepLines/>
        <w:widowControl w:val="0"/>
        <w:spacing w:after="0" w:line="240" w:lineRule="auto"/>
        <w:outlineLvl w:val="0"/>
        <w:rPr>
          <w:b/>
          <w:u w:val="single"/>
        </w:rPr>
      </w:pPr>
      <w:r>
        <w:rPr>
          <w:b/>
          <w:u w:val="single"/>
        </w:rPr>
        <w:t>Example 2:  Questions for behavior assessment that could be asked in the everyday workplace setting</w:t>
      </w:r>
    </w:p>
    <w:p w:rsidR="006D4F9F" w:rsidRPr="004E03EB" w:rsidRDefault="006D4F9F" w:rsidP="006D4F9F">
      <w:pPr>
        <w:keepNext/>
        <w:keepLines/>
        <w:widowControl w:val="0"/>
        <w:spacing w:after="0" w:line="240" w:lineRule="auto"/>
      </w:pPr>
      <w:r w:rsidRPr="004E03EB">
        <w:t>(This basically asks respondents to think back to their behavior or the KSAs before the trainings and then to compare them after the training</w:t>
      </w:r>
      <w:r>
        <w:t>s</w:t>
      </w:r>
      <w:r w:rsidRPr="004E03EB">
        <w:t>.)</w:t>
      </w:r>
    </w:p>
    <w:p w:rsidR="006D4F9F" w:rsidRDefault="006D4F9F" w:rsidP="006D4F9F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>Have you taken any trainings in the last 3 to 6 months? (</w:t>
      </w:r>
      <w:r>
        <w:rPr>
          <w:sz w:val="22"/>
          <w:szCs w:val="22"/>
        </w:rPr>
        <w:t>Y</w:t>
      </w:r>
      <w:r w:rsidRPr="005E6900">
        <w:rPr>
          <w:sz w:val="22"/>
          <w:szCs w:val="22"/>
        </w:rPr>
        <w:t>es/</w:t>
      </w:r>
      <w:r>
        <w:rPr>
          <w:sz w:val="22"/>
          <w:szCs w:val="22"/>
        </w:rPr>
        <w:t>N</w:t>
      </w:r>
      <w:r w:rsidRPr="005E6900">
        <w:rPr>
          <w:sz w:val="22"/>
          <w:szCs w:val="22"/>
        </w:rPr>
        <w:t>o)</w:t>
      </w:r>
      <w:r>
        <w:rPr>
          <w:sz w:val="22"/>
          <w:szCs w:val="22"/>
        </w:rPr>
        <w:t xml:space="preserve"> </w:t>
      </w:r>
      <w:r w:rsidRPr="005E6900">
        <w:rPr>
          <w:sz w:val="22"/>
          <w:szCs w:val="22"/>
        </w:rPr>
        <w:t>If so, please briefly describe the training or list the name of the training.</w:t>
      </w:r>
    </w:p>
    <w:p w:rsidR="006D4F9F" w:rsidRDefault="006D4F9F" w:rsidP="006D4F9F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>Have you participated in any drills/exercises? (</w:t>
      </w:r>
      <w:r>
        <w:rPr>
          <w:sz w:val="22"/>
          <w:szCs w:val="22"/>
        </w:rPr>
        <w:t>Y</w:t>
      </w:r>
      <w:r w:rsidRPr="005E6900">
        <w:rPr>
          <w:sz w:val="22"/>
          <w:szCs w:val="22"/>
        </w:rPr>
        <w:t>es/</w:t>
      </w:r>
      <w:r>
        <w:rPr>
          <w:sz w:val="22"/>
          <w:szCs w:val="22"/>
        </w:rPr>
        <w:t>N</w:t>
      </w:r>
      <w:r w:rsidRPr="005E6900">
        <w:rPr>
          <w:sz w:val="22"/>
          <w:szCs w:val="22"/>
        </w:rPr>
        <w:t>o) If so, did you perform your role and responsibilities accordingly?</w:t>
      </w:r>
    </w:p>
    <w:p w:rsidR="006D4F9F" w:rsidRDefault="006D4F9F" w:rsidP="006D4F9F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 xml:space="preserve">Did the trainings you have completed apply to your role and responsibilities? </w:t>
      </w:r>
    </w:p>
    <w:p w:rsidR="006D4F9F" w:rsidRDefault="006D4F9F" w:rsidP="006D4F9F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>Thinking back prior to the trainings, would you have performed your role and responsibilities the same or differently? If so, please briefly explain.</w:t>
      </w:r>
    </w:p>
    <w:p w:rsidR="006D4F9F" w:rsidRDefault="006D4F9F" w:rsidP="006D4F9F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5E6900">
        <w:rPr>
          <w:sz w:val="22"/>
          <w:szCs w:val="22"/>
        </w:rPr>
        <w:t xml:space="preserve">Were there any lessons learned from </w:t>
      </w:r>
      <w:r>
        <w:rPr>
          <w:sz w:val="22"/>
          <w:szCs w:val="22"/>
        </w:rPr>
        <w:t xml:space="preserve">the </w:t>
      </w:r>
      <w:r w:rsidRPr="005E6900">
        <w:rPr>
          <w:sz w:val="22"/>
          <w:szCs w:val="22"/>
        </w:rPr>
        <w:t>drill/exercise? If so, please describe briefly.</w:t>
      </w:r>
    </w:p>
    <w:p w:rsidR="006D4F9F" w:rsidRPr="004B5069" w:rsidRDefault="006D4F9F" w:rsidP="003D2797">
      <w:pPr>
        <w:pStyle w:val="ListParagraph"/>
        <w:keepNext/>
        <w:keepLines/>
        <w:widowControl w:val="0"/>
        <w:numPr>
          <w:ilvl w:val="0"/>
          <w:numId w:val="2"/>
        </w:numPr>
        <w:spacing w:before="0" w:after="0" w:line="240" w:lineRule="auto"/>
      </w:pPr>
      <w:r w:rsidRPr="005E6900">
        <w:rPr>
          <w:sz w:val="22"/>
          <w:szCs w:val="22"/>
        </w:rPr>
        <w:t xml:space="preserve">Could you perform all of your responsibility and task that you were given? </w:t>
      </w:r>
    </w:p>
    <w:p w:rsidR="004B5069" w:rsidRPr="004E03EB" w:rsidRDefault="004B5069" w:rsidP="004B5069">
      <w:pPr>
        <w:pStyle w:val="ListParagraph"/>
        <w:keepNext/>
        <w:keepLines/>
        <w:widowControl w:val="0"/>
        <w:spacing w:before="0" w:after="0" w:line="240" w:lineRule="auto"/>
      </w:pPr>
    </w:p>
    <w:p w:rsidR="006D4F9F" w:rsidRPr="0085585A" w:rsidRDefault="006D4F9F" w:rsidP="006D4F9F">
      <w:pPr>
        <w:spacing w:after="0" w:line="240" w:lineRule="auto"/>
        <w:rPr>
          <w:b/>
          <w:u w:val="single"/>
        </w:rPr>
      </w:pPr>
      <w:r w:rsidRPr="0085585A">
        <w:rPr>
          <w:b/>
          <w:u w:val="single"/>
        </w:rPr>
        <w:t>Example 3:  Questions for behavior assessment that could be asked at different points in time in an everyday work</w:t>
      </w:r>
      <w:r>
        <w:rPr>
          <w:b/>
          <w:u w:val="single"/>
        </w:rPr>
        <w:t>place</w:t>
      </w:r>
      <w:r w:rsidRPr="0085585A">
        <w:rPr>
          <w:b/>
          <w:u w:val="single"/>
        </w:rPr>
        <w:t xml:space="preserve"> setting</w:t>
      </w:r>
      <w:r>
        <w:rPr>
          <w:b/>
          <w:u w:val="single"/>
        </w:rPr>
        <w:t xml:space="preserve"> (daily role)</w:t>
      </w:r>
      <w:r w:rsidRPr="0085585A">
        <w:rPr>
          <w:b/>
          <w:u w:val="single"/>
        </w:rPr>
        <w:t xml:space="preserve"> and/or exercise setting</w:t>
      </w:r>
      <w:r>
        <w:rPr>
          <w:b/>
          <w:u w:val="single"/>
        </w:rPr>
        <w:t xml:space="preserve"> (exercise role)</w:t>
      </w:r>
      <w:r w:rsidRPr="0085585A">
        <w:rPr>
          <w:b/>
          <w:u w:val="single"/>
        </w:rPr>
        <w:t xml:space="preserve">  </w:t>
      </w:r>
    </w:p>
    <w:p w:rsidR="006D4F9F" w:rsidRDefault="00E81DEF" w:rsidP="006D4F9F">
      <w:pPr>
        <w:spacing w:after="0" w:line="240" w:lineRule="auto"/>
      </w:pPr>
      <w:r>
        <w:t xml:space="preserve">For the following </w:t>
      </w:r>
      <w:hyperlink r:id="rId11" w:history="1">
        <w:r w:rsidRPr="00116459">
          <w:rPr>
            <w:rStyle w:val="Hyperlink"/>
          </w:rPr>
          <w:t>17</w:t>
        </w:r>
        <w:r w:rsidR="006D4F9F" w:rsidRPr="00116459">
          <w:rPr>
            <w:rStyle w:val="Hyperlink"/>
          </w:rPr>
          <w:t xml:space="preserve"> competencies and/or KSAs</w:t>
        </w:r>
      </w:hyperlink>
      <w:r w:rsidR="006D4F9F">
        <w:t xml:space="preserve">, indicate your level of competence using the following scale:  </w:t>
      </w:r>
      <w:r w:rsidR="006D4F9F" w:rsidRPr="004E03EB">
        <w:t xml:space="preserve">  </w:t>
      </w:r>
    </w:p>
    <w:p w:rsidR="006D4F9F" w:rsidRPr="004E03EB" w:rsidRDefault="006D4F9F" w:rsidP="006D4F9F">
      <w:pPr>
        <w:spacing w:after="0" w:line="240" w:lineRule="auto"/>
        <w:ind w:left="1440"/>
      </w:pPr>
      <w:r w:rsidRPr="004E03EB">
        <w:t>0</w:t>
      </w:r>
      <w:r w:rsidRPr="004E03EB">
        <w:tab/>
        <w:t>no knowledge;</w:t>
      </w:r>
    </w:p>
    <w:p w:rsidR="006D4F9F" w:rsidRPr="004E03EB" w:rsidRDefault="006D4F9F" w:rsidP="006D4F9F">
      <w:pPr>
        <w:spacing w:after="0" w:line="240" w:lineRule="auto"/>
        <w:ind w:left="1440"/>
      </w:pPr>
      <w:r w:rsidRPr="004E03EB">
        <w:t>1</w:t>
      </w:r>
      <w:r w:rsidRPr="004E03EB">
        <w:tab/>
        <w:t xml:space="preserve">not mastered; </w:t>
      </w:r>
    </w:p>
    <w:p w:rsidR="006D4F9F" w:rsidRPr="004E03EB" w:rsidRDefault="006D4F9F" w:rsidP="006D4F9F">
      <w:pPr>
        <w:spacing w:after="0" w:line="240" w:lineRule="auto"/>
        <w:ind w:left="1440"/>
      </w:pPr>
      <w:r w:rsidRPr="004E03EB">
        <w:t>2</w:t>
      </w:r>
      <w:r w:rsidRPr="004E03EB">
        <w:tab/>
        <w:t>requires more knowledge or supervision;</w:t>
      </w:r>
    </w:p>
    <w:p w:rsidR="006D4F9F" w:rsidRPr="004E03EB" w:rsidRDefault="006D4F9F" w:rsidP="006D4F9F">
      <w:pPr>
        <w:spacing w:after="0" w:line="240" w:lineRule="auto"/>
        <w:ind w:left="1440"/>
      </w:pPr>
      <w:r w:rsidRPr="004E03EB">
        <w:t>3</w:t>
      </w:r>
      <w:r w:rsidRPr="004E03EB">
        <w:tab/>
        <w:t>requires little supervision;</w:t>
      </w:r>
      <w:r>
        <w:t xml:space="preserve"> </w:t>
      </w:r>
      <w:r w:rsidRPr="004E03EB">
        <w:t>and</w:t>
      </w:r>
    </w:p>
    <w:p w:rsidR="006D4F9F" w:rsidRPr="004E03EB" w:rsidRDefault="006D4F9F" w:rsidP="006D4F9F">
      <w:pPr>
        <w:spacing w:after="0" w:line="240" w:lineRule="auto"/>
        <w:ind w:left="1440"/>
      </w:pPr>
      <w:r w:rsidRPr="004E03EB">
        <w:t>4</w:t>
      </w:r>
      <w:r w:rsidRPr="004E03EB">
        <w:tab/>
        <w:t xml:space="preserve">mastery level. </w:t>
      </w:r>
    </w:p>
    <w:p w:rsidR="00692561" w:rsidRDefault="006D4F9F" w:rsidP="006D4F9F">
      <w:pPr>
        <w:spacing w:after="0" w:line="240" w:lineRule="auto"/>
      </w:pPr>
      <w:r w:rsidRPr="004E03EB">
        <w:t xml:space="preserve">This could be done before the training, </w:t>
      </w:r>
      <w:r>
        <w:t xml:space="preserve">immediately </w:t>
      </w:r>
      <w:r w:rsidRPr="004E03EB">
        <w:t xml:space="preserve">after the training, and then again </w:t>
      </w:r>
      <w:r>
        <w:t>three to six months post training.</w:t>
      </w:r>
    </w:p>
    <w:p w:rsidR="00E044C0" w:rsidRDefault="00E044C0" w:rsidP="006D4F9F">
      <w:pPr>
        <w:spacing w:after="0" w:line="240" w:lineRule="auto"/>
      </w:pPr>
    </w:p>
    <w:p w:rsidR="00692561" w:rsidRDefault="00692561" w:rsidP="00E044C0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 3 Evaluations of select perlc </w:t>
      </w:r>
    </w:p>
    <w:p w:rsidR="00692561" w:rsidRDefault="00692561" w:rsidP="00692561">
      <w:pPr>
        <w:spacing w:after="0" w:line="240" w:lineRule="auto"/>
        <w:rPr>
          <w:rFonts w:eastAsiaTheme="minorEastAsia"/>
          <w:color w:val="FF0000"/>
        </w:rPr>
      </w:pPr>
    </w:p>
    <w:p w:rsidR="00692561" w:rsidRDefault="00692561" w:rsidP="00692561">
      <w:pPr>
        <w:spacing w:after="0" w:line="240" w:lineRule="auto"/>
        <w:rPr>
          <w:color w:val="FF0000"/>
        </w:rPr>
      </w:pPr>
    </w:p>
    <w:p w:rsidR="00692561" w:rsidRDefault="00044534" w:rsidP="0069256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  <w:hyperlink r:id="rId12" w:history="1">
        <w:r w:rsidR="00692561" w:rsidRPr="00692561">
          <w:rPr>
            <w:rStyle w:val="Hyperlink"/>
            <w:rFonts w:ascii="Calibri" w:eastAsia="Times New Roman" w:hAnsi="Calibri" w:cs="Calibri"/>
            <w:b/>
            <w:sz w:val="28"/>
            <w:szCs w:val="28"/>
          </w:rPr>
          <w:t>Northwest Preparedness and Emergency Response Learning Center</w:t>
        </w:r>
      </w:hyperlink>
      <w:r w:rsidR="007D2CF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692561">
        <w:rPr>
          <w:rFonts w:ascii="Calibri" w:eastAsia="Times New Roman" w:hAnsi="Calibri" w:cs="Calibri"/>
          <w:b/>
          <w:sz w:val="28"/>
          <w:szCs w:val="28"/>
          <w:u w:val="single"/>
        </w:rPr>
        <w:t>(NWPERLC)</w:t>
      </w:r>
    </w:p>
    <w:p w:rsidR="00692561" w:rsidRDefault="00692561" w:rsidP="0069256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</w:p>
    <w:p w:rsidR="00692561" w:rsidRDefault="00044534" w:rsidP="0069256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  <w:hyperlink r:id="rId13" w:history="1">
        <w:r w:rsidR="00692561" w:rsidRPr="00692561">
          <w:rPr>
            <w:rStyle w:val="Hyperlink"/>
            <w:rFonts w:ascii="Calibri" w:eastAsia="Times New Roman" w:hAnsi="Calibri" w:cs="Calibri"/>
            <w:b/>
            <w:sz w:val="28"/>
            <w:szCs w:val="28"/>
          </w:rPr>
          <w:t>University of North Carolina Preparedness and Emergency Response Learning Center</w:t>
        </w:r>
      </w:hyperlink>
      <w:r w:rsidR="00692561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(UNCPERLC)</w:t>
      </w:r>
    </w:p>
    <w:p w:rsidR="00692561" w:rsidRDefault="00692561" w:rsidP="00DE36EB">
      <w:pPr>
        <w:spacing w:after="0" w:line="240" w:lineRule="auto"/>
      </w:pPr>
    </w:p>
    <w:p w:rsidR="00DE36EB" w:rsidRDefault="00DE36EB" w:rsidP="00DE36EB">
      <w:pPr>
        <w:spacing w:after="0" w:line="240" w:lineRule="auto"/>
      </w:pPr>
    </w:p>
    <w:p w:rsidR="00DE36EB" w:rsidRDefault="00DE36EB" w:rsidP="00DE36EB">
      <w:pPr>
        <w:spacing w:after="0" w:line="240" w:lineRule="auto"/>
      </w:pPr>
    </w:p>
    <w:p w:rsidR="00DE36EB" w:rsidRPr="00DE36EB" w:rsidRDefault="00DE36EB" w:rsidP="00DE36EB"/>
    <w:p w:rsidR="00DE36EB" w:rsidRPr="00D15CD3" w:rsidRDefault="00DE36EB" w:rsidP="00DE36EB">
      <w:pPr>
        <w:rPr>
          <w:sz w:val="2"/>
          <w:szCs w:val="2"/>
        </w:rPr>
      </w:pPr>
    </w:p>
    <w:p w:rsidR="00DE36EB" w:rsidRPr="00D15CD3" w:rsidRDefault="00DE36EB" w:rsidP="00DE36EB">
      <w:pPr>
        <w:rPr>
          <w:sz w:val="2"/>
          <w:szCs w:val="2"/>
        </w:rPr>
      </w:pPr>
    </w:p>
    <w:p w:rsidR="00DE36EB" w:rsidRPr="00D15CD3" w:rsidRDefault="00DE36EB" w:rsidP="00DE36EB">
      <w:pPr>
        <w:rPr>
          <w:sz w:val="2"/>
          <w:szCs w:val="2"/>
        </w:rPr>
      </w:pPr>
    </w:p>
    <w:p w:rsidR="00DE36EB" w:rsidRPr="00D15CD3" w:rsidRDefault="00DE36EB" w:rsidP="00DE36EB">
      <w:pPr>
        <w:rPr>
          <w:sz w:val="2"/>
          <w:szCs w:val="2"/>
        </w:rPr>
      </w:pPr>
    </w:p>
    <w:p w:rsidR="00DE36EB" w:rsidRDefault="00DE36EB" w:rsidP="00DE36EB">
      <w:pPr>
        <w:rPr>
          <w:sz w:val="2"/>
          <w:szCs w:val="2"/>
        </w:rPr>
      </w:pPr>
    </w:p>
    <w:p w:rsidR="00DE36EB" w:rsidRDefault="00DE36EB" w:rsidP="00DE36EB">
      <w:pPr>
        <w:rPr>
          <w:sz w:val="2"/>
          <w:szCs w:val="2"/>
        </w:rPr>
      </w:pPr>
    </w:p>
    <w:p w:rsidR="00DE36EB" w:rsidRPr="00D15CD3" w:rsidRDefault="00DE36EB" w:rsidP="00DE36EB">
      <w:pPr>
        <w:rPr>
          <w:sz w:val="2"/>
          <w:szCs w:val="2"/>
        </w:rPr>
      </w:pPr>
    </w:p>
    <w:p w:rsidR="00433C9C" w:rsidRDefault="00044534"/>
    <w:sectPr w:rsidR="00433C9C" w:rsidSect="00A31AAE">
      <w:headerReference w:type="default" r:id="rId14"/>
      <w:foot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EB" w:rsidRDefault="00DE36EB" w:rsidP="00DE36EB">
      <w:pPr>
        <w:spacing w:after="0" w:line="240" w:lineRule="auto"/>
      </w:pPr>
      <w:r>
        <w:separator/>
      </w:r>
    </w:p>
  </w:endnote>
  <w:endnote w:type="continuationSeparator" w:id="0">
    <w:p w:rsidR="00DE36EB" w:rsidRDefault="00DE36EB" w:rsidP="00DE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6" w:rsidRDefault="00F421E6" w:rsidP="00F421E6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658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1E6" w:rsidRDefault="00F42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F9F" w:rsidRDefault="006D4F9F" w:rsidP="00E466A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EB" w:rsidRDefault="00F421E6" w:rsidP="00E466A6">
    <w:pPr>
      <w:pStyle w:val="Footer"/>
      <w:jc w:val="right"/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EB" w:rsidRDefault="00DE36EB" w:rsidP="00DE36EB">
      <w:pPr>
        <w:spacing w:after="0" w:line="240" w:lineRule="auto"/>
      </w:pPr>
      <w:r>
        <w:separator/>
      </w:r>
    </w:p>
  </w:footnote>
  <w:footnote w:type="continuationSeparator" w:id="0">
    <w:p w:rsidR="00DE36EB" w:rsidRDefault="00DE36EB" w:rsidP="00DE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D2" w:rsidRPr="00E562D2" w:rsidRDefault="00E562D2">
    <w:pPr>
      <w:pStyle w:val="Header"/>
      <w:rPr>
        <w:b/>
        <w:sz w:val="16"/>
        <w:szCs w:val="16"/>
      </w:rPr>
    </w:pPr>
    <w:r w:rsidRPr="00D91652">
      <w:rPr>
        <w:b/>
        <w:sz w:val="16"/>
        <w:szCs w:val="16"/>
      </w:rPr>
      <w:t>Preparedness and Emergency Response Learning Centers</w:t>
    </w:r>
    <w:r w:rsidRPr="00D91652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77C1B" wp14:editId="6760F5B1">
              <wp:simplePos x="0" y="0"/>
              <wp:positionH relativeFrom="column">
                <wp:posOffset>-129540</wp:posOffset>
              </wp:positionH>
              <wp:positionV relativeFrom="paragraph">
                <wp:posOffset>-640080</wp:posOffset>
              </wp:positionV>
              <wp:extent cx="1828800" cy="1828800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562D2" w:rsidRPr="007F7959" w:rsidRDefault="00E562D2" w:rsidP="00E562D2">
                          <w:pPr>
                            <w:pStyle w:val="Header"/>
                            <w:jc w:val="center"/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7959"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PERLC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77C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2pt;margin-top:-50.4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P3DTE3eAAAADAEAAA8AAAAAAAAAAAAAAAAAfgQAAGRycy9kb3du&#10;cmV2LnhtbFBLBQYAAAAABAAEAPMAAACJBQAAAAA=&#10;" filled="f" stroked="f">
              <v:textbox style="mso-fit-shape-to-text:t">
                <w:txbxContent>
                  <w:p w:rsidR="00E562D2" w:rsidRPr="007F7959" w:rsidRDefault="00E562D2" w:rsidP="00E562D2">
                    <w:pPr>
                      <w:pStyle w:val="Header"/>
                      <w:jc w:val="center"/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F7959"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PERLC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9F" w:rsidRPr="00D91652" w:rsidRDefault="006D4F9F">
    <w:pPr>
      <w:pStyle w:val="Header"/>
      <w:rPr>
        <w:b/>
        <w:sz w:val="16"/>
        <w:szCs w:val="16"/>
      </w:rPr>
    </w:pPr>
    <w:r w:rsidRPr="00D91652">
      <w:rPr>
        <w:b/>
        <w:sz w:val="16"/>
        <w:szCs w:val="16"/>
      </w:rPr>
      <w:t>Preparedness and Emergency Response Learning Centers</w:t>
    </w:r>
    <w:r w:rsidRPr="00D91652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CD659" wp14:editId="13F7D167">
              <wp:simplePos x="0" y="0"/>
              <wp:positionH relativeFrom="column">
                <wp:posOffset>-129540</wp:posOffset>
              </wp:positionH>
              <wp:positionV relativeFrom="paragraph">
                <wp:posOffset>-640080</wp:posOffset>
              </wp:positionV>
              <wp:extent cx="1828800" cy="1828800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4F9F" w:rsidRPr="007F7959" w:rsidRDefault="006D4F9F" w:rsidP="00D91652">
                          <w:pPr>
                            <w:pStyle w:val="Header"/>
                            <w:jc w:val="center"/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7959"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PERLC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CD6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0.2pt;margin-top:-50.4pt;width:2in;height:2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/cNMTd4AAAAMAQAADwAAAAAAAAAAAAAAAACABAAAZHJzL2Rv&#10;d25yZXYueG1sUEsFBgAAAAAEAAQA8wAAAIsFAAAAAA==&#10;" filled="f" stroked="f">
              <v:textbox style="mso-fit-shape-to-text:t">
                <w:txbxContent>
                  <w:p w:rsidR="006D4F9F" w:rsidRPr="007F7959" w:rsidRDefault="006D4F9F" w:rsidP="00D91652">
                    <w:pPr>
                      <w:pStyle w:val="Header"/>
                      <w:jc w:val="center"/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F7959"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PERLC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EB" w:rsidRPr="00D91652" w:rsidRDefault="00DE36EB">
    <w:pPr>
      <w:pStyle w:val="Header"/>
      <w:rPr>
        <w:b/>
        <w:sz w:val="16"/>
        <w:szCs w:val="16"/>
      </w:rPr>
    </w:pPr>
    <w:r w:rsidRPr="00D91652">
      <w:rPr>
        <w:b/>
        <w:sz w:val="16"/>
        <w:szCs w:val="16"/>
      </w:rPr>
      <w:t>Preparedness and Eme</w:t>
    </w:r>
    <w:r>
      <w:rPr>
        <w:b/>
        <w:sz w:val="16"/>
        <w:szCs w:val="16"/>
      </w:rPr>
      <w:t>rgency Response Learning Center</w:t>
    </w:r>
    <w:r w:rsidRPr="00D91652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7F9B8" wp14:editId="6A33E7AD">
              <wp:simplePos x="0" y="0"/>
              <wp:positionH relativeFrom="column">
                <wp:posOffset>-129540</wp:posOffset>
              </wp:positionH>
              <wp:positionV relativeFrom="paragraph">
                <wp:posOffset>-640080</wp:posOffset>
              </wp:positionV>
              <wp:extent cx="1828800" cy="1828800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E36EB" w:rsidRPr="007F7959" w:rsidRDefault="00DE36EB" w:rsidP="00D91652">
                          <w:pPr>
                            <w:pStyle w:val="Header"/>
                            <w:jc w:val="center"/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7959">
                            <w:rPr>
                              <w:b/>
                              <w:color w:val="C00000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PERLC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7F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.2pt;margin-top:-50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" filled="f" stroked="f">
              <v:textbox style="mso-fit-shape-to-text:t">
                <w:txbxContent>
                  <w:p w:rsidR="00DE36EB" w:rsidRPr="007F7959" w:rsidRDefault="00DE36EB" w:rsidP="00D91652">
                    <w:pPr>
                      <w:pStyle w:val="Header"/>
                      <w:jc w:val="center"/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F7959">
                      <w:rPr>
                        <w:b/>
                        <w:color w:val="C00000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PERLC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461"/>
    <w:multiLevelType w:val="hybridMultilevel"/>
    <w:tmpl w:val="DE201456"/>
    <w:lvl w:ilvl="0" w:tplc="B8262C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38E0"/>
    <w:multiLevelType w:val="hybridMultilevel"/>
    <w:tmpl w:val="C3D679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B4B71"/>
    <w:multiLevelType w:val="hybridMultilevel"/>
    <w:tmpl w:val="D3784730"/>
    <w:lvl w:ilvl="0" w:tplc="D054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B"/>
    <w:rsid w:val="00044534"/>
    <w:rsid w:val="000825DF"/>
    <w:rsid w:val="00116459"/>
    <w:rsid w:val="00184D61"/>
    <w:rsid w:val="003C1DD1"/>
    <w:rsid w:val="003E3573"/>
    <w:rsid w:val="004B5069"/>
    <w:rsid w:val="00517216"/>
    <w:rsid w:val="00530307"/>
    <w:rsid w:val="005673F8"/>
    <w:rsid w:val="005949B9"/>
    <w:rsid w:val="006800DA"/>
    <w:rsid w:val="00692561"/>
    <w:rsid w:val="006D4F9F"/>
    <w:rsid w:val="006F5964"/>
    <w:rsid w:val="00751F72"/>
    <w:rsid w:val="007D2CF9"/>
    <w:rsid w:val="00A717FE"/>
    <w:rsid w:val="00AB722D"/>
    <w:rsid w:val="00B5230E"/>
    <w:rsid w:val="00C13F6F"/>
    <w:rsid w:val="00C733C1"/>
    <w:rsid w:val="00C94F57"/>
    <w:rsid w:val="00CE5165"/>
    <w:rsid w:val="00DE36EB"/>
    <w:rsid w:val="00E044C0"/>
    <w:rsid w:val="00E53596"/>
    <w:rsid w:val="00E562D2"/>
    <w:rsid w:val="00E81DEF"/>
    <w:rsid w:val="00F3059A"/>
    <w:rsid w:val="00F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C87D1-5B7F-418D-B9C7-30F408D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_alt"/>
    <w:basedOn w:val="Normal"/>
    <w:next w:val="Normal"/>
    <w:link w:val="Heading1Char"/>
    <w:uiPriority w:val="9"/>
    <w:qFormat/>
    <w:rsid w:val="00DE36EB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before="100" w:after="0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lt Char"/>
    <w:basedOn w:val="DefaultParagraphFont"/>
    <w:link w:val="Heading1"/>
    <w:uiPriority w:val="9"/>
    <w:rsid w:val="00DE36EB"/>
    <w:rPr>
      <w:rFonts w:eastAsiaTheme="minorEastAsia"/>
      <w:caps/>
      <w:color w:val="FFFFFF" w:themeColor="background1"/>
      <w:spacing w:val="15"/>
      <w:shd w:val="clear" w:color="auto" w:fill="C00000"/>
    </w:rPr>
  </w:style>
  <w:style w:type="paragraph" w:styleId="Header">
    <w:name w:val="header"/>
    <w:basedOn w:val="Normal"/>
    <w:link w:val="HeaderChar"/>
    <w:uiPriority w:val="99"/>
    <w:unhideWhenUsed/>
    <w:rsid w:val="00DE36EB"/>
    <w:pPr>
      <w:tabs>
        <w:tab w:val="center" w:pos="4680"/>
        <w:tab w:val="right" w:pos="9360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36EB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6EB"/>
    <w:pPr>
      <w:tabs>
        <w:tab w:val="center" w:pos="4680"/>
        <w:tab w:val="right" w:pos="9360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36EB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E36EB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36E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216"/>
    <w:pPr>
      <w:spacing w:before="1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1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hf.org/programs/preparednessresponse/evaluationrepository/Documents/UNC_PERLC_Evaluation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hf.org/programs/preparednessresponse/evaluationrepository/Documents/NW_PERLC_Evalu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f.org/programs/preparednessresponse/evaluationrepository/Documents/Knowledge_Skills_Attitude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4258</Characters>
  <Application>Microsoft Office Word</Application>
  <DocSecurity>0</DocSecurity>
  <Lines>146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Foundation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Nichols</dc:creator>
  <cp:lastModifiedBy>Janelle Nichols</cp:lastModifiedBy>
  <cp:revision>2</cp:revision>
  <cp:lastPrinted>2016-06-07T19:23:00Z</cp:lastPrinted>
  <dcterms:created xsi:type="dcterms:W3CDTF">2016-06-20T14:57:00Z</dcterms:created>
  <dcterms:modified xsi:type="dcterms:W3CDTF">2016-06-20T14:57:00Z</dcterms:modified>
</cp:coreProperties>
</file>